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E9" w:rsidRDefault="00D436E9" w:rsidP="0075726E">
      <w:pPr>
        <w:pStyle w:val="Leiptekstivasen"/>
      </w:pPr>
      <w:bookmarkStart w:id="0" w:name="_GoBack"/>
      <w:bookmarkEnd w:id="0"/>
    </w:p>
    <w:p w:rsidR="0075726E" w:rsidRDefault="00877406" w:rsidP="00877406">
      <w:pPr>
        <w:pStyle w:val="Leiptekstivasen"/>
        <w:rPr>
          <w:b/>
          <w:sz w:val="20"/>
        </w:rPr>
      </w:pPr>
      <w:r>
        <w:rPr>
          <w:b/>
          <w:sz w:val="20"/>
        </w:rPr>
        <w:t>ANVISNING TILL STÖDSÖKANDE OM</w:t>
      </w:r>
      <w:bookmarkStart w:id="1" w:name="DM_DOCNAME"/>
      <w:bookmarkEnd w:id="1"/>
      <w:r>
        <w:t xml:space="preserve"> </w:t>
      </w:r>
      <w:r>
        <w:rPr>
          <w:b/>
          <w:sz w:val="20"/>
        </w:rPr>
        <w:t>FÖRSKOTTSBETALNING FRÅN EUROPEISKA HAVS- OCH FISKERIFONDEN, HÖJNING AV STÖDNIVÅERNA OCH FINANSIERING AV ÅTGÄRDER I FISKEHAMNAR UNDER CORONAVIRUSKRISEN</w:t>
      </w:r>
    </w:p>
    <w:p w:rsidR="00EC696D" w:rsidRDefault="00EC696D" w:rsidP="00877406">
      <w:pPr>
        <w:pStyle w:val="Leiptekstivasen"/>
        <w:rPr>
          <w:b/>
          <w:sz w:val="20"/>
        </w:rPr>
      </w:pPr>
    </w:p>
    <w:p w:rsidR="00877406" w:rsidRPr="00877406" w:rsidRDefault="00877406" w:rsidP="00877406">
      <w:pPr>
        <w:pStyle w:val="Leiptekstivasen"/>
        <w:rPr>
          <w:b/>
          <w:sz w:val="20"/>
        </w:rPr>
      </w:pPr>
    </w:p>
    <w:p w:rsidR="003A564C" w:rsidRDefault="00877406" w:rsidP="00877406">
      <w:pPr>
        <w:pStyle w:val="Leipteksti"/>
        <w:ind w:left="0"/>
        <w:rPr>
          <w:sz w:val="20"/>
        </w:rPr>
      </w:pPr>
      <w:r>
        <w:rPr>
          <w:sz w:val="20"/>
        </w:rPr>
        <w:t>I denna anvisning har det sammanställts information till stödmottagare om de åtgärder som Europeiska havs- och fiskerifondens operativa program för Finland 2014–2020 tillhandahåller och som kan underlätta situationen för fiskerinäringen under coronaviruskr</w:t>
      </w:r>
      <w:r w:rsidR="007531E6">
        <w:rPr>
          <w:sz w:val="20"/>
        </w:rPr>
        <w:t>isen.</w:t>
      </w:r>
      <w:r>
        <w:rPr>
          <w:sz w:val="20"/>
        </w:rPr>
        <w:t xml:space="preserve"> </w:t>
      </w:r>
    </w:p>
    <w:p w:rsidR="003A564C" w:rsidRDefault="00937D87" w:rsidP="00877406">
      <w:pPr>
        <w:pStyle w:val="Leipteksti"/>
        <w:ind w:left="0"/>
        <w:rPr>
          <w:sz w:val="20"/>
        </w:rPr>
      </w:pPr>
      <w:r>
        <w:rPr>
          <w:sz w:val="20"/>
        </w:rPr>
        <w:t>Åtgärderna innefattar att s</w:t>
      </w:r>
      <w:r w:rsidR="001E34E2">
        <w:rPr>
          <w:sz w:val="20"/>
        </w:rPr>
        <w:t xml:space="preserve">tödmottagarna har möjlighet att ansöka om förskottsbetalning, anvisningarna om finansiellt stöd till fiskehamnar har preciserats och stödnivåerna kan höjas enligt prövning. Åtgärderna </w:t>
      </w:r>
      <w:r w:rsidR="007531E6">
        <w:rPr>
          <w:sz w:val="20"/>
        </w:rPr>
        <w:t xml:space="preserve">kan </w:t>
      </w:r>
      <w:r>
        <w:rPr>
          <w:sz w:val="20"/>
        </w:rPr>
        <w:t>användas inom</w:t>
      </w:r>
      <w:r w:rsidR="001E34E2">
        <w:rPr>
          <w:sz w:val="20"/>
        </w:rPr>
        <w:t xml:space="preserve"> projekt som hänför sig till coronavirusutbrottet och som har som syfte att anpassa företagsverksamheten till de förändringar som epidemin orsakar. </w:t>
      </w:r>
    </w:p>
    <w:p w:rsidR="000C5ACB" w:rsidRDefault="000C5ACB" w:rsidP="00877406">
      <w:pPr>
        <w:pStyle w:val="Leipteksti"/>
        <w:ind w:left="0"/>
        <w:rPr>
          <w:sz w:val="20"/>
        </w:rPr>
      </w:pPr>
      <w:r>
        <w:rPr>
          <w:sz w:val="20"/>
        </w:rPr>
        <w:t xml:space="preserve">Anvisningar om andra stödåtgärder som tas i bruk senare meddelas separat. </w:t>
      </w:r>
    </w:p>
    <w:p w:rsidR="00ED65BA" w:rsidRDefault="00ED65BA" w:rsidP="00877406">
      <w:pPr>
        <w:pStyle w:val="Leipteksti"/>
        <w:ind w:left="0"/>
        <w:rPr>
          <w:sz w:val="20"/>
        </w:rPr>
      </w:pPr>
    </w:p>
    <w:p w:rsidR="003A564C" w:rsidRPr="00ED65BA" w:rsidRDefault="003A564C" w:rsidP="00877406">
      <w:pPr>
        <w:pStyle w:val="Leipteksti"/>
        <w:ind w:left="0"/>
        <w:rPr>
          <w:b/>
          <w:sz w:val="20"/>
          <w:u w:val="single"/>
        </w:rPr>
      </w:pPr>
      <w:r>
        <w:rPr>
          <w:b/>
          <w:sz w:val="20"/>
          <w:u w:val="single"/>
        </w:rPr>
        <w:t>Förskottsbetalningar</w:t>
      </w:r>
    </w:p>
    <w:p w:rsidR="003A564C" w:rsidRDefault="00D14E74" w:rsidP="00877406">
      <w:pPr>
        <w:pStyle w:val="Leipteksti"/>
        <w:ind w:left="0"/>
        <w:rPr>
          <w:sz w:val="20"/>
        </w:rPr>
      </w:pPr>
      <w:r>
        <w:rPr>
          <w:sz w:val="20"/>
        </w:rPr>
        <w:t>För närvarande kan förskott betalas till</w:t>
      </w:r>
      <w:r>
        <w:rPr>
          <w:b/>
          <w:sz w:val="20"/>
        </w:rPr>
        <w:t xml:space="preserve"> utvecklingsprojekt</w:t>
      </w:r>
      <w:r>
        <w:rPr>
          <w:sz w:val="20"/>
        </w:rPr>
        <w:t>. Dessutom har man börjat bereda en lagändring som ska möjliggöra förskottsbetalning till investeringsprojekt. Information om möjligheten till förskottsbetalningar till investeringsprojekt publiceras på webbplatsen merijakalatalous.fi.</w:t>
      </w:r>
    </w:p>
    <w:p w:rsidR="00880B9D" w:rsidRDefault="00880B9D" w:rsidP="00880B9D">
      <w:r>
        <w:t xml:space="preserve">Förskott kan betalas ut om det är motiverat med hänsyn till stödmottagarens ställning och genomförandet av den åtgärd som stöds. Motiveringen bör </w:t>
      </w:r>
      <w:r w:rsidR="00937D87">
        <w:t>vara att åtgärden hänför</w:t>
      </w:r>
      <w:r>
        <w:t xml:space="preserve"> sig till coronavirusutbrottet. Högst 70 procent av det understöd som beviljas kan betalas ut i förskott. </w:t>
      </w:r>
    </w:p>
    <w:p w:rsidR="00A372A5" w:rsidRDefault="00A372A5" w:rsidP="00880B9D"/>
    <w:p w:rsidR="00A372A5" w:rsidRDefault="00A372A5" w:rsidP="00880B9D">
      <w:r>
        <w:t xml:space="preserve">Så här ansöker du om förskott: </w:t>
      </w:r>
    </w:p>
    <w:p w:rsidR="00A372A5" w:rsidRDefault="00A372A5" w:rsidP="00A372A5">
      <w:pPr>
        <w:pStyle w:val="Luettelokappale"/>
        <w:numPr>
          <w:ilvl w:val="0"/>
          <w:numId w:val="5"/>
        </w:numPr>
      </w:pPr>
      <w:r>
        <w:t xml:space="preserve">Ange i stödansökan </w:t>
      </w:r>
      <w:r w:rsidR="00937D87">
        <w:t>att</w:t>
      </w:r>
      <w:r>
        <w:t xml:space="preserve"> det finns behov av förskottsbetalning och ge en motivering till förskottsbetalningen.</w:t>
      </w:r>
    </w:p>
    <w:p w:rsidR="00A372A5" w:rsidRDefault="00A372A5" w:rsidP="00A372A5">
      <w:pPr>
        <w:pStyle w:val="Luettelokappale"/>
        <w:numPr>
          <w:ilvl w:val="0"/>
          <w:numId w:val="5"/>
        </w:numPr>
      </w:pPr>
      <w:r>
        <w:t>Förskottet ska i regel gälla det kostnadsslag som högst sannolikt kommer att realiseras till fullt belopp. Ange trots allt en exakt plan för projektet och dess kostnadsspecifikation. Närings-, trafik- oc</w:t>
      </w:r>
      <w:r w:rsidR="007531E6">
        <w:t>h miljöcentralen gör utifrån detta</w:t>
      </w:r>
      <w:r>
        <w:t xml:space="preserve"> en förenklad kostnadsfördelning. </w:t>
      </w:r>
    </w:p>
    <w:p w:rsidR="00A372A5" w:rsidRDefault="00A372A5" w:rsidP="00880B9D"/>
    <w:p w:rsidR="00A372A5" w:rsidRDefault="00A372A5" w:rsidP="00880B9D">
      <w:r>
        <w:t xml:space="preserve">Ansökan om utbetalning av förskott: </w:t>
      </w:r>
    </w:p>
    <w:p w:rsidR="00A372A5" w:rsidRDefault="007D204B" w:rsidP="00A372A5">
      <w:pPr>
        <w:pStyle w:val="Luettelokappale"/>
        <w:numPr>
          <w:ilvl w:val="0"/>
          <w:numId w:val="6"/>
        </w:numPr>
      </w:pPr>
      <w:r>
        <w:t xml:space="preserve">Lämna på normalt vis in ansökan om utbetalning i Hyrrä. </w:t>
      </w:r>
    </w:p>
    <w:p w:rsidR="00A372A5" w:rsidRPr="00937D87" w:rsidRDefault="00A372A5" w:rsidP="00A372A5">
      <w:pPr>
        <w:pStyle w:val="Luettelokappale"/>
        <w:numPr>
          <w:ilvl w:val="0"/>
          <w:numId w:val="6"/>
        </w:numPr>
      </w:pPr>
      <w:r>
        <w:t xml:space="preserve">Ansök om förskott som en </w:t>
      </w:r>
      <w:r w:rsidR="00937D87">
        <w:t>separat</w:t>
      </w:r>
      <w:r>
        <w:t xml:space="preserve"> betalningspost. </w:t>
      </w:r>
      <w:r w:rsidRPr="00937D87">
        <w:t>Ansök i samband med dett</w:t>
      </w:r>
      <w:r w:rsidR="007531E6" w:rsidRPr="00937D87">
        <w:t xml:space="preserve">a inte om </w:t>
      </w:r>
      <w:r w:rsidR="00937D87" w:rsidRPr="00937D87">
        <w:t>utbetalning av stöd för faktiska kostnader.</w:t>
      </w:r>
    </w:p>
    <w:p w:rsidR="00A372A5" w:rsidRDefault="00A372A5" w:rsidP="00A372A5">
      <w:pPr>
        <w:pStyle w:val="Luettelokappale"/>
        <w:numPr>
          <w:ilvl w:val="0"/>
          <w:numId w:val="6"/>
        </w:numPr>
      </w:pPr>
      <w:r>
        <w:t xml:space="preserve">Utvecklings- och förvaltningscentret betalar ut förskott i enlighet med stödbeslutet. I samband med ansökan om utbetalning av förskott behöver du inte lämna in </w:t>
      </w:r>
      <w:r w:rsidR="00937D87">
        <w:t>dokumentation</w:t>
      </w:r>
      <w:r>
        <w:t xml:space="preserve"> om hur projektet har genomförts. </w:t>
      </w:r>
    </w:p>
    <w:p w:rsidR="00A372A5" w:rsidRDefault="00A372A5" w:rsidP="00A372A5">
      <w:pPr>
        <w:pStyle w:val="Luettelokappale"/>
        <w:numPr>
          <w:ilvl w:val="0"/>
          <w:numId w:val="6"/>
        </w:numPr>
      </w:pPr>
      <w:r>
        <w:t xml:space="preserve">När projektet har genomförts, ansök om utbetalning av </w:t>
      </w:r>
      <w:r w:rsidR="00937D87">
        <w:t xml:space="preserve">stöd på grundval av </w:t>
      </w:r>
      <w:r>
        <w:t xml:space="preserve">resten av kostnaderna antingen som löpande betalningar eller direkt som en slutbetalning. Om förskott har beviljats till fullt belopp, alltså till 70 procent, lönar det sig inte att ansöka om löpande betalningar, utan </w:t>
      </w:r>
      <w:r w:rsidR="007531E6">
        <w:t>ansök då direkt</w:t>
      </w:r>
      <w:r>
        <w:t xml:space="preserve"> om slutbetalning när projektet har avslutats. </w:t>
      </w:r>
    </w:p>
    <w:p w:rsidR="00A372A5" w:rsidRDefault="00A372A5" w:rsidP="00A372A5">
      <w:pPr>
        <w:pStyle w:val="Luettelokappale"/>
        <w:numPr>
          <w:ilvl w:val="0"/>
          <w:numId w:val="6"/>
        </w:numPr>
      </w:pPr>
      <w:r>
        <w:t xml:space="preserve">Vid utbetalning av slutbetalningen eller eventuella löpande betalningar ska det läggas fram en redogörelse (utdrag ur huvud- och dagboken eller utgifts- och betalningsverifikat) för projektets faktiska totalkostnader, dvs. för användningen av förskottet och den andel som överstiger det. </w:t>
      </w:r>
    </w:p>
    <w:p w:rsidR="00A372A5" w:rsidRDefault="00A372A5" w:rsidP="00A372A5">
      <w:pPr>
        <w:pStyle w:val="Luettelokappale"/>
        <w:numPr>
          <w:ilvl w:val="0"/>
          <w:numId w:val="6"/>
        </w:numPr>
      </w:pPr>
      <w:r>
        <w:t>Beloppet av slutbetalningen är projektets stödberättigande totalkostnader från vilka man dragit av förskottsbeloppet, dock så att förskottet och slutbetalningen sammanlagt utgör högst det stödbelopp som beviljats i stödbeslutet.</w:t>
      </w:r>
    </w:p>
    <w:p w:rsidR="00D34E55" w:rsidRPr="00A372A5" w:rsidRDefault="00D34E55" w:rsidP="00A372A5">
      <w:pPr>
        <w:pStyle w:val="Luettelokappale"/>
        <w:numPr>
          <w:ilvl w:val="0"/>
          <w:numId w:val="6"/>
        </w:numPr>
      </w:pPr>
      <w:r>
        <w:t xml:space="preserve">Om projektet inte har genomförts </w:t>
      </w:r>
      <w:r w:rsidR="007531E6">
        <w:t>i sin helhet</w:t>
      </w:r>
      <w:r>
        <w:t xml:space="preserve"> och det har betalats för mycket stöd, är sökanden skyldig att återbetala det stöd som betalats till för stort belopp till utvecklings- och förvaltningscentrets konto för intäkter, IBAN FI96 5000 0120 3179 78 (Andelsbanken).</w:t>
      </w:r>
    </w:p>
    <w:p w:rsidR="00807F6A" w:rsidRPr="00ED65BA" w:rsidRDefault="00807F6A" w:rsidP="00880B9D">
      <w:pPr>
        <w:rPr>
          <w:b/>
          <w:u w:val="single"/>
        </w:rPr>
      </w:pPr>
      <w:r>
        <w:rPr>
          <w:b/>
          <w:u w:val="single"/>
        </w:rPr>
        <w:lastRenderedPageBreak/>
        <w:t>Finansiering av åtgärder i fiskehamnar</w:t>
      </w:r>
    </w:p>
    <w:p w:rsidR="00807F6A" w:rsidRDefault="00807F6A" w:rsidP="00880B9D">
      <w:pPr>
        <w:rPr>
          <w:b/>
        </w:rPr>
      </w:pPr>
    </w:p>
    <w:p w:rsidR="00A372A5" w:rsidRDefault="00807F6A" w:rsidP="00807F6A">
      <w:r>
        <w:t xml:space="preserve">Jord- och skogsbruksministeriet utfärdade den 5 april 2019 anvisningar om beviljande och administrering av EHFF-stöd. I anvisningen anges att </w:t>
      </w:r>
    </w:p>
    <w:p w:rsidR="00A372A5" w:rsidRDefault="00A372A5" w:rsidP="00807F6A"/>
    <w:p w:rsidR="00A372A5" w:rsidRDefault="003D1066" w:rsidP="00A372A5">
      <w:pPr>
        <w:ind w:left="1296"/>
      </w:pPr>
      <w:r w:rsidRPr="003D1066">
        <w:rPr>
          <w:i/>
        </w:rPr>
        <w:t xml:space="preserve">det i regel inte kan beviljas stöd för </w:t>
      </w:r>
      <w:r w:rsidR="00807F6A" w:rsidRPr="003D1066">
        <w:rPr>
          <w:i/>
        </w:rPr>
        <w:t xml:space="preserve">investeringar i </w:t>
      </w:r>
      <w:r w:rsidRPr="003D1066">
        <w:rPr>
          <w:i/>
        </w:rPr>
        <w:t xml:space="preserve">beredning i </w:t>
      </w:r>
      <w:r w:rsidR="00807F6A" w:rsidRPr="003D1066">
        <w:rPr>
          <w:i/>
        </w:rPr>
        <w:t xml:space="preserve">fiskehamnslokaler som byggts med offentligt stöd. Enligt prövning kan stöd dock beviljas för investeringar </w:t>
      </w:r>
      <w:r w:rsidRPr="003D1066">
        <w:rPr>
          <w:i/>
        </w:rPr>
        <w:t>som gäller</w:t>
      </w:r>
      <w:r w:rsidR="00807F6A" w:rsidRPr="003D1066">
        <w:rPr>
          <w:i/>
        </w:rPr>
        <w:t xml:space="preserve"> </w:t>
      </w:r>
      <w:r w:rsidRPr="003D1066">
        <w:rPr>
          <w:i/>
        </w:rPr>
        <w:t xml:space="preserve">beredning av </w:t>
      </w:r>
      <w:r w:rsidR="00807F6A" w:rsidRPr="003D1066">
        <w:rPr>
          <w:i/>
        </w:rPr>
        <w:t xml:space="preserve">produkter för vilka det ännu inte har uppstått någon marknad, eller om det är fråga om mycket småskalig </w:t>
      </w:r>
      <w:r w:rsidRPr="003D1066">
        <w:rPr>
          <w:i/>
        </w:rPr>
        <w:t>beredning</w:t>
      </w:r>
      <w:r w:rsidR="00807F6A" w:rsidRPr="003D1066">
        <w:rPr>
          <w:i/>
        </w:rPr>
        <w:t xml:space="preserve">. Beviljandet av stöd förutsätter att </w:t>
      </w:r>
      <w:r w:rsidRPr="003D1066">
        <w:rPr>
          <w:i/>
        </w:rPr>
        <w:t>beredningen</w:t>
      </w:r>
      <w:r w:rsidR="00807F6A" w:rsidRPr="003D1066">
        <w:rPr>
          <w:i/>
        </w:rPr>
        <w:t xml:space="preserve"> inte orsakar mer än ringa störningar på marknaden för fisk.</w:t>
      </w:r>
      <w:r w:rsidR="00807F6A">
        <w:t xml:space="preserve"> </w:t>
      </w:r>
      <w:r w:rsidR="00264F98">
        <w:t>(fri övers.)</w:t>
      </w:r>
    </w:p>
    <w:p w:rsidR="00A372A5" w:rsidRDefault="00A372A5" w:rsidP="00A372A5"/>
    <w:p w:rsidR="00524DC5" w:rsidRDefault="00AC63DF" w:rsidP="00A372A5">
      <w:r>
        <w:t xml:space="preserve">Investeringar i förpackningssystem kan enligt anvisningen få finansiering om de hänför sig till behov som uppstått till följd av coronavirusutbrottet. Investeringen får dock inte heller i det fallet orsaka mer än ringa olägenhet för marknaden. </w:t>
      </w:r>
    </w:p>
    <w:p w:rsidR="00ED65BA" w:rsidRDefault="00ED65BA" w:rsidP="00A372A5"/>
    <w:p w:rsidR="004B5DE4" w:rsidRPr="00675425" w:rsidRDefault="004B5DE4" w:rsidP="00A372A5"/>
    <w:p w:rsidR="00807F6A" w:rsidRPr="00ED65BA" w:rsidRDefault="00807F6A" w:rsidP="00880B9D">
      <w:pPr>
        <w:rPr>
          <w:b/>
          <w:u w:val="single"/>
        </w:rPr>
      </w:pPr>
      <w:r>
        <w:rPr>
          <w:b/>
          <w:u w:val="single"/>
        </w:rPr>
        <w:t>Höjning av stödnivåerna enligt prövning</w:t>
      </w:r>
    </w:p>
    <w:p w:rsidR="00D34E55" w:rsidRPr="00747126" w:rsidRDefault="00D34E55" w:rsidP="00880B9D"/>
    <w:p w:rsidR="00807F6A" w:rsidRPr="00675425" w:rsidRDefault="00807F6A" w:rsidP="00807F6A">
      <w:pPr>
        <w:pStyle w:val="Sisennettykappale"/>
        <w:ind w:left="0"/>
        <w:rPr>
          <w:rFonts w:ascii="Arial" w:hAnsi="Arial" w:cs="Arial"/>
          <w:sz w:val="22"/>
          <w:szCs w:val="22"/>
        </w:rPr>
      </w:pPr>
      <w:r>
        <w:rPr>
          <w:rFonts w:ascii="Arial" w:hAnsi="Arial"/>
          <w:sz w:val="22"/>
          <w:szCs w:val="22"/>
        </w:rPr>
        <w:t xml:space="preserve">Coronavirusepidemin har allvarliga konsekvenser för företagsverksamheten inom fiskerisektorn. Jord- och skogsbruksministeriets naturresursavdelning, som är förvaltningsmyndighet för det operativa programmet, anser att investeringar som hjälper företagen att anpassa sig till coronavirusepidemins konsekvenser är av strategisk betydelse för utvecklingen av fiskerinäringen, och att det är möjligt att bevilja höjt stöd. Det är fråga om ett tillfälligt system som tillämpas på grund av coronavirusepidemin och höjt stöd kan beviljas om det är motiverat på grund av de förändringar som följer av epidemin. </w:t>
      </w:r>
    </w:p>
    <w:p w:rsidR="00524DC5" w:rsidRDefault="00524DC5" w:rsidP="00807F6A">
      <w:pPr>
        <w:pStyle w:val="Sisennettykappale"/>
        <w:ind w:left="0"/>
        <w:rPr>
          <w:rFonts w:ascii="Arial" w:hAnsi="Arial" w:cs="Arial"/>
          <w:sz w:val="22"/>
          <w:szCs w:val="22"/>
        </w:rPr>
      </w:pPr>
      <w:r>
        <w:rPr>
          <w:rFonts w:ascii="Arial" w:hAnsi="Arial"/>
          <w:sz w:val="22"/>
          <w:szCs w:val="22"/>
        </w:rPr>
        <w:t xml:space="preserve">Så här ansöker du om höjt stöd: </w:t>
      </w:r>
    </w:p>
    <w:p w:rsidR="00524DC5" w:rsidRDefault="00807F6A" w:rsidP="00524DC5">
      <w:pPr>
        <w:pStyle w:val="Sisennettykappale"/>
        <w:numPr>
          <w:ilvl w:val="0"/>
          <w:numId w:val="7"/>
        </w:numPr>
        <w:rPr>
          <w:rFonts w:ascii="Arial" w:hAnsi="Arial" w:cs="Arial"/>
          <w:sz w:val="22"/>
          <w:szCs w:val="22"/>
        </w:rPr>
      </w:pPr>
      <w:r>
        <w:rPr>
          <w:rFonts w:ascii="Arial" w:hAnsi="Arial"/>
          <w:sz w:val="22"/>
          <w:szCs w:val="22"/>
        </w:rPr>
        <w:t xml:space="preserve">Ett villkor för höjt stöd är att det projekt som finansieras har ett berättigat samband med de anpassningsåtgärder som företaget vidtar till följd av coronavirusepidemin. </w:t>
      </w:r>
    </w:p>
    <w:p w:rsidR="00807F6A" w:rsidRPr="00675425" w:rsidRDefault="00524DC5" w:rsidP="00524DC5">
      <w:pPr>
        <w:pStyle w:val="Sisennettykappale"/>
        <w:numPr>
          <w:ilvl w:val="0"/>
          <w:numId w:val="7"/>
        </w:numPr>
        <w:rPr>
          <w:rFonts w:ascii="Arial" w:hAnsi="Arial" w:cs="Arial"/>
          <w:sz w:val="22"/>
          <w:szCs w:val="22"/>
        </w:rPr>
      </w:pPr>
      <w:r>
        <w:rPr>
          <w:rFonts w:ascii="Arial" w:hAnsi="Arial"/>
          <w:sz w:val="22"/>
          <w:szCs w:val="22"/>
        </w:rPr>
        <w:t xml:space="preserve">Motivera behovet av höjt stöd för projektet. Närings-, trafik- och miljöcentralen bedömer från fall till fall grunderna för användningen av höjt stöd i stödbeslutet. </w:t>
      </w:r>
    </w:p>
    <w:p w:rsidR="00807F6A" w:rsidRDefault="00807F6A" w:rsidP="00807F6A">
      <w:pPr>
        <w:pStyle w:val="Sisennettykappale"/>
        <w:ind w:left="0"/>
        <w:rPr>
          <w:rFonts w:ascii="Arial" w:hAnsi="Arial" w:cs="Arial"/>
          <w:sz w:val="22"/>
          <w:szCs w:val="22"/>
        </w:rPr>
      </w:pPr>
      <w:r>
        <w:rPr>
          <w:rFonts w:ascii="Arial" w:hAnsi="Arial"/>
          <w:sz w:val="22"/>
          <w:szCs w:val="22"/>
        </w:rPr>
        <w:t>En höjning av det maximala stödbeloppet kan prövas enligt följande:</w:t>
      </w:r>
    </w:p>
    <w:p w:rsidR="00807F6A" w:rsidRPr="00675425" w:rsidRDefault="00807F6A" w:rsidP="002F19D4">
      <w:pPr>
        <w:pStyle w:val="Sisennettykappale"/>
        <w:numPr>
          <w:ilvl w:val="0"/>
          <w:numId w:val="4"/>
        </w:numPr>
        <w:rPr>
          <w:rFonts w:ascii="Arial" w:hAnsi="Arial" w:cs="Arial"/>
          <w:sz w:val="22"/>
          <w:szCs w:val="22"/>
        </w:rPr>
      </w:pPr>
      <w:r>
        <w:rPr>
          <w:rFonts w:ascii="Arial" w:hAnsi="Arial"/>
          <w:sz w:val="22"/>
          <w:szCs w:val="22"/>
        </w:rPr>
        <w:t>I investeringsprojekt där stödnivån normalt är 40 procent kan nivån av grundad anledning höjas till 50 procent.</w:t>
      </w:r>
    </w:p>
    <w:p w:rsidR="00807F6A" w:rsidRPr="00675425" w:rsidRDefault="00807F6A" w:rsidP="002F19D4">
      <w:pPr>
        <w:pStyle w:val="Sisennettykappale"/>
        <w:numPr>
          <w:ilvl w:val="0"/>
          <w:numId w:val="4"/>
        </w:numPr>
        <w:rPr>
          <w:rFonts w:ascii="Arial" w:hAnsi="Arial" w:cs="Arial"/>
          <w:sz w:val="22"/>
          <w:szCs w:val="22"/>
        </w:rPr>
      </w:pPr>
      <w:r>
        <w:rPr>
          <w:rFonts w:ascii="Arial" w:hAnsi="Arial"/>
          <w:sz w:val="22"/>
          <w:szCs w:val="22"/>
        </w:rPr>
        <w:t xml:space="preserve">I fråga om investeringar i </w:t>
      </w:r>
      <w:r w:rsidR="003D1066">
        <w:rPr>
          <w:rFonts w:ascii="Arial" w:hAnsi="Arial"/>
          <w:sz w:val="22"/>
          <w:szCs w:val="22"/>
        </w:rPr>
        <w:t>beredning</w:t>
      </w:r>
      <w:r>
        <w:rPr>
          <w:rFonts w:ascii="Arial" w:hAnsi="Arial"/>
          <w:sz w:val="22"/>
          <w:szCs w:val="22"/>
        </w:rPr>
        <w:t xml:space="preserve"> och partihandel, där stödnivån normalt är 20 procent, kan nivån av grundad anledning höjas till 35 procent. Om det är fråga om en investering med betydande nyhetsvärde eller om investeringen hänför sig till </w:t>
      </w:r>
      <w:r w:rsidR="003D1066">
        <w:rPr>
          <w:rFonts w:ascii="Arial" w:hAnsi="Arial"/>
          <w:sz w:val="22"/>
          <w:szCs w:val="22"/>
        </w:rPr>
        <w:t>beredning</w:t>
      </w:r>
      <w:r>
        <w:rPr>
          <w:rFonts w:ascii="Arial" w:hAnsi="Arial"/>
          <w:sz w:val="22"/>
          <w:szCs w:val="22"/>
        </w:rPr>
        <w:t xml:space="preserve"> av underutnyttjade arter, kan stödet höjas till 50 procent. </w:t>
      </w:r>
    </w:p>
    <w:p w:rsidR="00807F6A" w:rsidRPr="00675425" w:rsidRDefault="00807F6A" w:rsidP="002F19D4">
      <w:pPr>
        <w:pStyle w:val="Sisennettykappale"/>
        <w:numPr>
          <w:ilvl w:val="0"/>
          <w:numId w:val="4"/>
        </w:numPr>
        <w:rPr>
          <w:rFonts w:ascii="Arial" w:hAnsi="Arial" w:cs="Arial"/>
          <w:sz w:val="22"/>
          <w:szCs w:val="22"/>
        </w:rPr>
      </w:pPr>
      <w:r>
        <w:rPr>
          <w:rFonts w:ascii="Arial" w:hAnsi="Arial"/>
          <w:sz w:val="22"/>
          <w:szCs w:val="22"/>
        </w:rPr>
        <w:t xml:space="preserve">När det gäller åtgärder som hänför sig till småskaligt kustfiske och insjöfiske, för vilka stödnivån normalt är 50 procent, kan nivån av grundad anledning höjas till 60 procent. När det gäller kollektiva åtgärder kan stödnivån höjas till högst 80 procent. </w:t>
      </w:r>
    </w:p>
    <w:p w:rsidR="00807F6A" w:rsidRDefault="00807F6A" w:rsidP="00807F6A">
      <w:pPr>
        <w:pStyle w:val="Sisennettykappale"/>
        <w:ind w:left="0"/>
        <w:rPr>
          <w:rFonts w:ascii="Arial" w:hAnsi="Arial" w:cs="Arial"/>
          <w:sz w:val="22"/>
          <w:szCs w:val="22"/>
        </w:rPr>
      </w:pPr>
      <w:r>
        <w:rPr>
          <w:rFonts w:ascii="Arial" w:hAnsi="Arial"/>
          <w:sz w:val="22"/>
          <w:szCs w:val="22"/>
        </w:rPr>
        <w:t xml:space="preserve">Upphandlingslagen ska beaktas när det offentliga stödet överstiger 50 procent och när EU:s tröskelvärden eller de nationella tröskelvärdena överskrids. </w:t>
      </w:r>
    </w:p>
    <w:p w:rsidR="002570F8" w:rsidRDefault="002570F8" w:rsidP="00807F6A">
      <w:pPr>
        <w:pStyle w:val="Sisennettykappale"/>
        <w:ind w:left="0"/>
        <w:rPr>
          <w:rFonts w:ascii="Arial" w:hAnsi="Arial" w:cs="Arial"/>
          <w:sz w:val="22"/>
          <w:szCs w:val="22"/>
        </w:rPr>
      </w:pPr>
      <w:r>
        <w:rPr>
          <w:rFonts w:ascii="Arial" w:hAnsi="Arial"/>
          <w:sz w:val="22"/>
          <w:szCs w:val="22"/>
        </w:rPr>
        <w:t xml:space="preserve">Vänd dig alltid först till den lokala närings-, trafik- och miljöcentralen om du har frågor om Europeiska havs- och fiskerifondens stöd. </w:t>
      </w:r>
    </w:p>
    <w:p w:rsidR="002570F8" w:rsidRDefault="002D72DC" w:rsidP="00807F6A">
      <w:pPr>
        <w:pStyle w:val="Sisennettykappale"/>
        <w:ind w:left="0"/>
        <w:rPr>
          <w:rFonts w:ascii="Arial" w:hAnsi="Arial" w:cs="Arial"/>
          <w:sz w:val="22"/>
          <w:szCs w:val="22"/>
        </w:rPr>
      </w:pPr>
      <w:r>
        <w:rPr>
          <w:rFonts w:ascii="Arial" w:hAnsi="Arial"/>
          <w:sz w:val="22"/>
          <w:szCs w:val="22"/>
        </w:rPr>
        <w:lastRenderedPageBreak/>
        <w:t xml:space="preserve">NTM-centralernas kontaktuppgifter: </w:t>
      </w:r>
    </w:p>
    <w:p w:rsidR="00D14E74" w:rsidRDefault="00F07D16" w:rsidP="00877406">
      <w:pPr>
        <w:pStyle w:val="Leipteksti"/>
        <w:ind w:left="0"/>
        <w:rPr>
          <w:sz w:val="20"/>
        </w:rPr>
      </w:pPr>
      <w:hyperlink r:id="rId7" w:history="1">
        <w:r w:rsidR="002004EC">
          <w:rPr>
            <w:rStyle w:val="Hyperlinkki"/>
            <w:sz w:val="20"/>
          </w:rPr>
          <w:t>Närings-, trafik- och miljöcentralen i Egentliga Finland</w:t>
        </w:r>
      </w:hyperlink>
    </w:p>
    <w:p w:rsidR="00ED65BA" w:rsidRDefault="00F07D16" w:rsidP="00877406">
      <w:pPr>
        <w:pStyle w:val="Leipteksti"/>
        <w:ind w:left="0"/>
        <w:rPr>
          <w:sz w:val="20"/>
        </w:rPr>
      </w:pPr>
      <w:hyperlink r:id="rId8" w:history="1">
        <w:r w:rsidR="002004EC">
          <w:rPr>
            <w:rStyle w:val="Hyperlinkki"/>
            <w:sz w:val="20"/>
          </w:rPr>
          <w:t>Närings-, trafik- och miljöcentralen i Norra Savolax</w:t>
        </w:r>
      </w:hyperlink>
    </w:p>
    <w:p w:rsidR="00ED65BA" w:rsidRPr="009F656E" w:rsidRDefault="00F07D16" w:rsidP="00877406">
      <w:pPr>
        <w:pStyle w:val="Leipteksti"/>
        <w:ind w:left="0"/>
        <w:rPr>
          <w:sz w:val="20"/>
        </w:rPr>
      </w:pPr>
      <w:hyperlink r:id="rId9" w:history="1">
        <w:r w:rsidR="002004EC">
          <w:rPr>
            <w:rStyle w:val="Hyperlinkki"/>
            <w:sz w:val="20"/>
          </w:rPr>
          <w:t>Närings-, trafik- och miljöcentralen i Lappland</w:t>
        </w:r>
      </w:hyperlink>
    </w:p>
    <w:sectPr w:rsidR="00ED65BA" w:rsidRPr="009F656E" w:rsidSect="000A0790">
      <w:headerReference w:type="default" r:id="rId10"/>
      <w:headerReference w:type="first" r:id="rId11"/>
      <w:footerReference w:type="first" r:id="rId12"/>
      <w:pgSz w:w="11906" w:h="16838" w:code="9"/>
      <w:pgMar w:top="562" w:right="1008" w:bottom="1728" w:left="1152" w:header="562"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F0" w:rsidRDefault="005332F0">
      <w:r>
        <w:separator/>
      </w:r>
    </w:p>
  </w:endnote>
  <w:endnote w:type="continuationSeparator" w:id="0">
    <w:p w:rsidR="005332F0" w:rsidRDefault="0053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937D87">
      <w:trPr>
        <w:trHeight w:hRule="exact" w:val="660"/>
      </w:trPr>
      <w:tc>
        <w:tcPr>
          <w:tcW w:w="2977" w:type="dxa"/>
        </w:tcPr>
        <w:p w:rsidR="000A43F3" w:rsidRPr="007531E6" w:rsidRDefault="000A43F3" w:rsidP="000A43F3">
          <w:pPr>
            <w:rPr>
              <w:rFonts w:eastAsia="Arial Unicode MS" w:cs="Arial"/>
              <w:b/>
              <w:color w:val="212123"/>
              <w:sz w:val="14"/>
              <w:szCs w:val="14"/>
              <w:lang w:val="fi-FI"/>
            </w:rPr>
          </w:pPr>
          <w:r w:rsidRPr="007531E6">
            <w:rPr>
              <w:b/>
              <w:color w:val="212123"/>
              <w:sz w:val="14"/>
              <w:szCs w:val="14"/>
              <w:lang w:val="fi-FI"/>
            </w:rPr>
            <w:t>MAA- JA METSÄTALOUSMINISTERIÖ</w:t>
          </w:r>
        </w:p>
        <w:p w:rsidR="000A43F3" w:rsidRPr="007531E6" w:rsidRDefault="000A43F3" w:rsidP="000A43F3">
          <w:pPr>
            <w:rPr>
              <w:rFonts w:eastAsia="Arial Unicode MS" w:cs="Arial"/>
              <w:color w:val="212123"/>
              <w:sz w:val="14"/>
              <w:szCs w:val="14"/>
              <w:lang w:val="fi-FI"/>
            </w:rPr>
          </w:pPr>
          <w:r w:rsidRPr="007531E6">
            <w:rPr>
              <w:color w:val="212123"/>
              <w:sz w:val="14"/>
              <w:szCs w:val="14"/>
              <w:lang w:val="fi-FI"/>
            </w:rPr>
            <w:t>Hallituskatu 3 A, Helsinki</w:t>
          </w:r>
        </w:p>
        <w:p w:rsidR="000A0790" w:rsidRPr="00337497" w:rsidRDefault="000A43F3" w:rsidP="000A43F3">
          <w:pPr>
            <w:rPr>
              <w:rFonts w:ascii="Lucida Sans Unicode" w:eastAsia="Arial Unicode MS" w:hAnsi="Lucida Sans Unicode" w:cs="Lucida Sans Unicode"/>
              <w:color w:val="212123"/>
              <w:spacing w:val="-6"/>
              <w:sz w:val="14"/>
              <w:szCs w:val="14"/>
            </w:rPr>
          </w:pPr>
          <w:r>
            <w:rPr>
              <w:color w:val="212123"/>
              <w:sz w:val="14"/>
              <w:szCs w:val="14"/>
            </w:rPr>
            <w:t>PL 30, 00023 Valtioneuvosto</w:t>
          </w:r>
        </w:p>
      </w:tc>
      <w:tc>
        <w:tcPr>
          <w:tcW w:w="2977" w:type="dxa"/>
        </w:tcPr>
        <w:p w:rsidR="000A43F3" w:rsidRPr="00AE3AF3" w:rsidRDefault="000A43F3" w:rsidP="000A43F3">
          <w:pPr>
            <w:rPr>
              <w:rFonts w:eastAsia="Arial Unicode MS" w:cs="Arial"/>
              <w:b/>
              <w:color w:val="212123"/>
              <w:sz w:val="14"/>
              <w:szCs w:val="14"/>
            </w:rPr>
          </w:pPr>
          <w:r>
            <w:rPr>
              <w:b/>
              <w:color w:val="212123"/>
              <w:sz w:val="14"/>
              <w:szCs w:val="14"/>
            </w:rPr>
            <w:t>JORD- OCH SKOGSBRUKSMINISTERIET</w:t>
          </w:r>
        </w:p>
        <w:p w:rsidR="000A0790" w:rsidRPr="00337497" w:rsidRDefault="000A43F3" w:rsidP="000A43F3">
          <w:pPr>
            <w:rPr>
              <w:rFonts w:ascii="Lucida Sans Unicode" w:eastAsia="Arial Unicode MS" w:hAnsi="Lucida Sans Unicode" w:cs="Lucida Sans Unicode"/>
              <w:color w:val="212123"/>
              <w:sz w:val="14"/>
              <w:szCs w:val="14"/>
            </w:rPr>
          </w:pPr>
          <w:r>
            <w:rPr>
              <w:color w:val="212123"/>
              <w:sz w:val="14"/>
              <w:szCs w:val="14"/>
            </w:rPr>
            <w:t>Regeringsgatan 3 A, Helsingfors</w:t>
          </w:r>
          <w:r>
            <w:rPr>
              <w:color w:val="212123"/>
              <w:sz w:val="14"/>
              <w:szCs w:val="14"/>
            </w:rPr>
            <w:br/>
            <w:t>PB 30, 00023 Statsrådet</w:t>
          </w:r>
        </w:p>
      </w:tc>
      <w:tc>
        <w:tcPr>
          <w:tcW w:w="3969" w:type="dxa"/>
        </w:tcPr>
        <w:p w:rsidR="000A0790" w:rsidRPr="007531E6" w:rsidRDefault="000A43F3" w:rsidP="000A0790">
          <w:pPr>
            <w:rPr>
              <w:rFonts w:ascii="Lucida Sans Unicode" w:eastAsia="Arial Unicode MS" w:hAnsi="Lucida Sans Unicode"/>
              <w:color w:val="212123"/>
              <w:spacing w:val="4"/>
              <w:sz w:val="14"/>
              <w:szCs w:val="14"/>
              <w:lang w:val="en-US"/>
            </w:rPr>
          </w:pPr>
          <w:r w:rsidRPr="007531E6">
            <w:rPr>
              <w:b/>
              <w:color w:val="212123"/>
              <w:sz w:val="14"/>
              <w:szCs w:val="14"/>
              <w:lang w:val="en-US"/>
            </w:rPr>
            <w:t>MINISTRY OF AGRICULTURE AND FORESTRY</w:t>
          </w:r>
          <w:r w:rsidRPr="007531E6">
            <w:rPr>
              <w:color w:val="212123"/>
              <w:sz w:val="14"/>
              <w:szCs w:val="14"/>
              <w:lang w:val="en-US"/>
            </w:rPr>
            <w:br/>
            <w:t>Hallituskatu 3 A, Helsinki</w:t>
          </w:r>
          <w:r w:rsidRPr="007531E6">
            <w:rPr>
              <w:color w:val="212123"/>
              <w:sz w:val="14"/>
              <w:szCs w:val="14"/>
              <w:lang w:val="en-US"/>
            </w:rPr>
            <w:br/>
            <w:t>P.O. Box 30, FI-00023 Government,Finland</w:t>
          </w:r>
        </w:p>
      </w:tc>
    </w:tr>
  </w:tbl>
  <w:p w:rsidR="00D436E9" w:rsidRPr="000A43F3" w:rsidRDefault="00D436E9"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F0" w:rsidRDefault="005332F0">
      <w:r>
        <w:separator/>
      </w:r>
    </w:p>
  </w:footnote>
  <w:footnote w:type="continuationSeparator" w:id="0">
    <w:p w:rsidR="005332F0" w:rsidRDefault="0053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trPr>
        <w:cantSplit/>
        <w:trHeight w:hRule="exact" w:val="240"/>
      </w:trPr>
      <w:tc>
        <w:tcPr>
          <w:tcW w:w="5184" w:type="dxa"/>
        </w:tcPr>
        <w:p w:rsidR="00D436E9" w:rsidRDefault="00D436E9"/>
      </w:tc>
      <w:tc>
        <w:tcPr>
          <w:tcW w:w="2592" w:type="dxa"/>
        </w:tcPr>
        <w:p w:rsidR="00D436E9" w:rsidRDefault="00D436E9">
          <w:pPr>
            <w:pStyle w:val="Asiakirjatyyppi"/>
            <w:rPr>
              <w:b w:val="0"/>
              <w:caps w:val="0"/>
            </w:rPr>
          </w:pPr>
        </w:p>
      </w:tc>
      <w:tc>
        <w:tcPr>
          <w:tcW w:w="1296" w:type="dxa"/>
        </w:tcPr>
        <w:p w:rsidR="00D436E9" w:rsidRDefault="00D436E9">
          <w:pPr>
            <w:pStyle w:val="Leiptekstivasen"/>
          </w:pPr>
        </w:p>
      </w:tc>
      <w:tc>
        <w:tcPr>
          <w:tcW w:w="1296" w:type="dxa"/>
        </w:tcPr>
        <w:p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F07D16">
            <w:rPr>
              <w:rStyle w:val="Sivunumero"/>
              <w:noProof/>
            </w:rPr>
            <w:t>3</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F07D16">
            <w:rPr>
              <w:rStyle w:val="Sivunumero"/>
              <w:noProof/>
            </w:rPr>
            <w:t>3</w:t>
          </w:r>
          <w:r>
            <w:rPr>
              <w:rStyle w:val="Sivunumero"/>
            </w:rPr>
            <w:fldChar w:fldCharType="end"/>
          </w:r>
          <w:r>
            <w:t>)</w:t>
          </w:r>
        </w:p>
      </w:tc>
    </w:tr>
    <w:tr w:rsidR="00D436E9">
      <w:trPr>
        <w:cantSplit/>
        <w:trHeight w:hRule="exact" w:val="1440"/>
      </w:trPr>
      <w:tc>
        <w:tcPr>
          <w:tcW w:w="5184" w:type="dxa"/>
        </w:tcPr>
        <w:p w:rsidR="00D436E9" w:rsidRDefault="00D436E9"/>
      </w:tc>
      <w:tc>
        <w:tcPr>
          <w:tcW w:w="5184" w:type="dxa"/>
          <w:gridSpan w:val="3"/>
        </w:tcPr>
        <w:p w:rsidR="00D436E9" w:rsidRDefault="00D436E9">
          <w:pPr>
            <w:pStyle w:val="Leiptekstivasen"/>
          </w:pPr>
        </w:p>
      </w:tc>
    </w:tr>
  </w:tbl>
  <w:p w:rsidR="00D436E9" w:rsidRDefault="00D436E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Asiakirjatyyppi"/>
          </w:pPr>
          <w:bookmarkStart w:id="2" w:name="DM_TYPE_ID"/>
          <w:bookmarkEnd w:id="2"/>
        </w:p>
      </w:tc>
      <w:tc>
        <w:tcPr>
          <w:tcW w:w="1296" w:type="dxa"/>
          <w:vAlign w:val="bottom"/>
        </w:tcPr>
        <w:p w:rsidR="00CE403D" w:rsidRDefault="00CE403D">
          <w:pPr>
            <w:pStyle w:val="AsKirjNro"/>
          </w:pPr>
          <w:bookmarkStart w:id="3" w:name="DM_DOCNUM"/>
          <w:bookmarkEnd w:id="3"/>
        </w:p>
      </w:tc>
      <w:tc>
        <w:tcPr>
          <w:tcW w:w="1296" w:type="dxa"/>
        </w:tcPr>
        <w:p w:rsidR="00CE403D" w:rsidRDefault="00CE403D">
          <w:pPr>
            <w:pStyle w:val="Leiptekstivasen"/>
          </w:pPr>
          <w:r>
            <w:rPr>
              <w:rStyle w:val="Sivunumero"/>
            </w:rPr>
            <w:fldChar w:fldCharType="begin"/>
          </w:r>
          <w:r>
            <w:rPr>
              <w:rStyle w:val="Sivunumero"/>
            </w:rPr>
            <w:instrText xml:space="preserve"> PAGE </w:instrText>
          </w:r>
          <w:r>
            <w:rPr>
              <w:rStyle w:val="Sivunumero"/>
            </w:rPr>
            <w:fldChar w:fldCharType="separate"/>
          </w:r>
          <w:r w:rsidR="00F07D16">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F07D16">
            <w:rPr>
              <w:rStyle w:val="Sivunumero"/>
              <w:noProof/>
            </w:rPr>
            <w:t>3</w:t>
          </w:r>
          <w:r>
            <w:rPr>
              <w:rStyle w:val="Sivunumero"/>
            </w:rPr>
            <w:fldChar w:fldCharType="end"/>
          </w:r>
          <w:r>
            <w:t>)</w:t>
          </w: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2592" w:type="dxa"/>
          <w:gridSpan w:val="2"/>
        </w:tcPr>
        <w:p w:rsidR="00CE403D" w:rsidRDefault="00CE403D">
          <w:pPr>
            <w:pStyle w:val="Leiptekstivasen"/>
          </w:pPr>
          <w:bookmarkStart w:id="4" w:name="DM_X_REGCODEHARE"/>
          <w:bookmarkEnd w:id="4"/>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ED6F9B">
          <w:pPr>
            <w:pStyle w:val="Leiptekstivasen"/>
          </w:pPr>
          <w:bookmarkStart w:id="5" w:name="DM_CREATION_DATE"/>
          <w:bookmarkEnd w:id="5"/>
          <w:r>
            <w:rPr>
              <w:noProof/>
              <w:lang w:val="fi-FI"/>
            </w:rPr>
            <w:drawing>
              <wp:anchor distT="0" distB="0" distL="114300" distR="114300" simplePos="0" relativeHeight="251658752" behindDoc="0" locked="0" layoutInCell="1" allowOverlap="1" wp14:anchorId="344D9E55" wp14:editId="20BFF6E0">
                <wp:simplePos x="0" y="0"/>
                <wp:positionH relativeFrom="column">
                  <wp:posOffset>-549910</wp:posOffset>
                </wp:positionH>
                <wp:positionV relativeFrom="paragraph">
                  <wp:posOffset>-306070</wp:posOffset>
                </wp:positionV>
                <wp:extent cx="1866900" cy="800100"/>
                <wp:effectExtent l="0" t="0" r="0" b="0"/>
                <wp:wrapNone/>
                <wp:docPr id="1" name="Kuva 1" descr="EMKR_tunnus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KR_tunnus_f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pic:spPr>
                    </pic:pic>
                  </a:graphicData>
                </a:graphic>
              </wp:anchor>
            </w:drawing>
          </w:r>
        </w:p>
      </w:tc>
      <w:tc>
        <w:tcPr>
          <w:tcW w:w="2592" w:type="dxa"/>
          <w:gridSpan w:val="2"/>
        </w:tcPr>
        <w:p w:rsidR="00CE403D" w:rsidRPr="00ED6F9B" w:rsidRDefault="00ED6F9B">
          <w:pPr>
            <w:pStyle w:val="Leiptekstivasen"/>
            <w:rPr>
              <w:b/>
            </w:rPr>
          </w:pPr>
          <w:bookmarkStart w:id="6" w:name="DM_C_CASENATIVEID"/>
          <w:bookmarkEnd w:id="6"/>
          <w:r>
            <w:rPr>
              <w:b/>
            </w:rPr>
            <w:t>ANVISNING</w:t>
          </w:r>
        </w:p>
      </w:tc>
    </w:tr>
    <w:tr w:rsidR="00D222D5" w:rsidTr="003A6553">
      <w:trPr>
        <w:cantSplit/>
        <w:trHeight w:hRule="exact" w:val="240"/>
      </w:trPr>
      <w:tc>
        <w:tcPr>
          <w:tcW w:w="5184" w:type="dxa"/>
          <w:shd w:val="clear" w:color="auto" w:fill="auto"/>
        </w:tcPr>
        <w:p w:rsidR="00D222D5" w:rsidRDefault="00D222D5">
          <w:pPr>
            <w:pStyle w:val="Leiptekstivasen"/>
          </w:pPr>
        </w:p>
      </w:tc>
      <w:tc>
        <w:tcPr>
          <w:tcW w:w="2592" w:type="dxa"/>
        </w:tcPr>
        <w:p w:rsidR="00D222D5" w:rsidRDefault="00D222D5">
          <w:pPr>
            <w:pStyle w:val="Leiptekstivasen"/>
          </w:pPr>
        </w:p>
      </w:tc>
      <w:tc>
        <w:tcPr>
          <w:tcW w:w="2592" w:type="dxa"/>
          <w:gridSpan w:val="2"/>
        </w:tcPr>
        <w:p w:rsidR="00D222D5" w:rsidRDefault="00D222D5">
          <w:pPr>
            <w:pStyle w:val="Leiptekstivasen"/>
          </w:pPr>
        </w:p>
      </w:tc>
    </w:tr>
    <w:tr w:rsidR="00D436E9">
      <w:trPr>
        <w:cantSplit/>
        <w:trHeight w:hRule="exact" w:val="720"/>
      </w:trPr>
      <w:tc>
        <w:tcPr>
          <w:tcW w:w="5184" w:type="dxa"/>
        </w:tcPr>
        <w:p w:rsidR="00D436E9" w:rsidRDefault="00D436E9">
          <w:pPr>
            <w:pStyle w:val="Leiptekstivasen"/>
          </w:pPr>
        </w:p>
      </w:tc>
      <w:tc>
        <w:tcPr>
          <w:tcW w:w="2592" w:type="dxa"/>
        </w:tcPr>
        <w:p w:rsidR="00D436E9" w:rsidRDefault="00D436E9">
          <w:pPr>
            <w:pStyle w:val="Leiptekstivasen"/>
          </w:pPr>
        </w:p>
      </w:tc>
      <w:tc>
        <w:tcPr>
          <w:tcW w:w="1296" w:type="dxa"/>
        </w:tcPr>
        <w:p w:rsidR="00D436E9" w:rsidRDefault="002D72DC" w:rsidP="003E486C">
          <w:pPr>
            <w:pStyle w:val="Leiptekstivasen"/>
          </w:pPr>
          <w:r>
            <w:t>22.4.2020</w:t>
          </w:r>
        </w:p>
      </w:tc>
      <w:tc>
        <w:tcPr>
          <w:tcW w:w="1296" w:type="dxa"/>
        </w:tcPr>
        <w:p w:rsidR="00D436E9" w:rsidRDefault="00D436E9">
          <w:pPr>
            <w:pStyle w:val="Leiptekstivasen"/>
          </w:pPr>
        </w:p>
      </w:tc>
    </w:tr>
  </w:tbl>
  <w:p w:rsidR="00D436E9" w:rsidRDefault="000A43F3">
    <w:pPr>
      <w:pStyle w:val="Yltunniste"/>
      <w:rPr>
        <w:sz w:val="2"/>
      </w:rPr>
    </w:pPr>
    <w:r>
      <w:rPr>
        <w:noProof/>
        <w:lang w:val="fi-FI"/>
      </w:rPr>
      <w:drawing>
        <wp:anchor distT="0" distB="0" distL="114300" distR="114300" simplePos="0" relativeHeight="251657728" behindDoc="0" locked="0" layoutInCell="1" allowOverlap="1" wp14:anchorId="7F6EBA99" wp14:editId="55F98DDF">
          <wp:simplePos x="0" y="0"/>
          <wp:positionH relativeFrom="column">
            <wp:posOffset>1069</wp:posOffset>
          </wp:positionH>
          <wp:positionV relativeFrom="page">
            <wp:posOffset>90905</wp:posOffset>
          </wp:positionV>
          <wp:extent cx="2825750" cy="1255888"/>
          <wp:effectExtent l="0" t="0" r="0" b="190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F08"/>
    <w:multiLevelType w:val="hybridMultilevel"/>
    <w:tmpl w:val="97A06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8E0337"/>
    <w:multiLevelType w:val="hybridMultilevel"/>
    <w:tmpl w:val="F15E47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3" w15:restartNumberingAfterBreak="0">
    <w:nsid w:val="1C301F3D"/>
    <w:multiLevelType w:val="hybridMultilevel"/>
    <w:tmpl w:val="2BE0BA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5" w15:restartNumberingAfterBreak="0">
    <w:nsid w:val="591C4D85"/>
    <w:multiLevelType w:val="hybridMultilevel"/>
    <w:tmpl w:val="7E2A73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65A5469"/>
    <w:multiLevelType w:val="hybridMultilevel"/>
    <w:tmpl w:val="1ED053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9B"/>
    <w:rsid w:val="00063549"/>
    <w:rsid w:val="000A0790"/>
    <w:rsid w:val="000A43F3"/>
    <w:rsid w:val="000C5ACB"/>
    <w:rsid w:val="000E284D"/>
    <w:rsid w:val="00125DA6"/>
    <w:rsid w:val="0014552F"/>
    <w:rsid w:val="001619B1"/>
    <w:rsid w:val="001B5E61"/>
    <w:rsid w:val="001E34E2"/>
    <w:rsid w:val="002004EC"/>
    <w:rsid w:val="002570F8"/>
    <w:rsid w:val="00264F98"/>
    <w:rsid w:val="002B2838"/>
    <w:rsid w:val="002D72DC"/>
    <w:rsid w:val="002F19D4"/>
    <w:rsid w:val="002F4BBF"/>
    <w:rsid w:val="003A564C"/>
    <w:rsid w:val="003B3939"/>
    <w:rsid w:val="003D1066"/>
    <w:rsid w:val="003D570F"/>
    <w:rsid w:val="003E486C"/>
    <w:rsid w:val="003F326E"/>
    <w:rsid w:val="00455DB8"/>
    <w:rsid w:val="00487BA8"/>
    <w:rsid w:val="004B5DE4"/>
    <w:rsid w:val="00524DC5"/>
    <w:rsid w:val="005332F0"/>
    <w:rsid w:val="00580FFE"/>
    <w:rsid w:val="0058722B"/>
    <w:rsid w:val="00590F91"/>
    <w:rsid w:val="00671168"/>
    <w:rsid w:val="00682A6B"/>
    <w:rsid w:val="00690FFD"/>
    <w:rsid w:val="006E7832"/>
    <w:rsid w:val="0070606F"/>
    <w:rsid w:val="00741958"/>
    <w:rsid w:val="007531E6"/>
    <w:rsid w:val="0075726E"/>
    <w:rsid w:val="007A0583"/>
    <w:rsid w:val="007A663C"/>
    <w:rsid w:val="007D204B"/>
    <w:rsid w:val="007D3463"/>
    <w:rsid w:val="00807F6A"/>
    <w:rsid w:val="00877406"/>
    <w:rsid w:val="00880B9D"/>
    <w:rsid w:val="008A2B3E"/>
    <w:rsid w:val="00937D87"/>
    <w:rsid w:val="00940C8F"/>
    <w:rsid w:val="009D6FC4"/>
    <w:rsid w:val="009F656E"/>
    <w:rsid w:val="00A372A5"/>
    <w:rsid w:val="00A41F7D"/>
    <w:rsid w:val="00A84378"/>
    <w:rsid w:val="00AA3535"/>
    <w:rsid w:val="00AA3DB5"/>
    <w:rsid w:val="00AC63DF"/>
    <w:rsid w:val="00B26224"/>
    <w:rsid w:val="00B86E6E"/>
    <w:rsid w:val="00BF3A06"/>
    <w:rsid w:val="00BF3BC8"/>
    <w:rsid w:val="00C1387A"/>
    <w:rsid w:val="00C4331F"/>
    <w:rsid w:val="00CE403D"/>
    <w:rsid w:val="00D05F00"/>
    <w:rsid w:val="00D11986"/>
    <w:rsid w:val="00D14E74"/>
    <w:rsid w:val="00D222D5"/>
    <w:rsid w:val="00D34E55"/>
    <w:rsid w:val="00D436E9"/>
    <w:rsid w:val="00D5611C"/>
    <w:rsid w:val="00D74722"/>
    <w:rsid w:val="00D7796C"/>
    <w:rsid w:val="00D8561D"/>
    <w:rsid w:val="00DC1D4B"/>
    <w:rsid w:val="00E00F24"/>
    <w:rsid w:val="00E41E6A"/>
    <w:rsid w:val="00E677CD"/>
    <w:rsid w:val="00EC3A99"/>
    <w:rsid w:val="00EC696D"/>
    <w:rsid w:val="00ED65BA"/>
    <w:rsid w:val="00ED6F9B"/>
    <w:rsid w:val="00F07D16"/>
    <w:rsid w:val="00F325E4"/>
    <w:rsid w:val="00F56E95"/>
    <w:rsid w:val="00FC5C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EFC03B1-8475-4319-A60D-D271365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uiPriority w:val="99"/>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 w:type="paragraph" w:styleId="Otsikko">
    <w:name w:val="Title"/>
    <w:basedOn w:val="Normaali"/>
    <w:next w:val="Normaali"/>
    <w:link w:val="OtsikkoChar"/>
    <w:qFormat/>
    <w:rsid w:val="00807F6A"/>
    <w:pPr>
      <w:suppressAutoHyphens/>
      <w:spacing w:after="200"/>
      <w:outlineLvl w:val="0"/>
    </w:pPr>
    <w:rPr>
      <w:b/>
      <w:kern w:val="28"/>
      <w:sz w:val="22"/>
      <w:szCs w:val="22"/>
    </w:rPr>
  </w:style>
  <w:style w:type="character" w:customStyle="1" w:styleId="OtsikkoChar">
    <w:name w:val="Otsikko Char"/>
    <w:basedOn w:val="Kappaleenoletusfontti"/>
    <w:link w:val="Otsikko"/>
    <w:rsid w:val="00807F6A"/>
    <w:rPr>
      <w:b/>
      <w:kern w:val="28"/>
      <w:sz w:val="22"/>
      <w:szCs w:val="22"/>
      <w:lang w:val="sv-SE"/>
    </w:rPr>
  </w:style>
  <w:style w:type="paragraph" w:customStyle="1" w:styleId="Sisennettykappale">
    <w:name w:val="Sisennetty kappale"/>
    <w:basedOn w:val="Normaali"/>
    <w:rsid w:val="00807F6A"/>
    <w:pPr>
      <w:spacing w:after="220"/>
      <w:ind w:left="1304"/>
    </w:pPr>
    <w:rPr>
      <w:rFonts w:ascii="Verdana" w:hAnsi="Verdana"/>
    </w:rPr>
  </w:style>
  <w:style w:type="paragraph" w:styleId="Luettelokappale">
    <w:name w:val="List Paragraph"/>
    <w:basedOn w:val="Normaali"/>
    <w:uiPriority w:val="34"/>
    <w:qFormat/>
    <w:rsid w:val="00A372A5"/>
    <w:pPr>
      <w:ind w:left="720"/>
      <w:contextualSpacing/>
    </w:pPr>
  </w:style>
  <w:style w:type="character" w:styleId="Kommentinviite">
    <w:name w:val="annotation reference"/>
    <w:basedOn w:val="Kappaleenoletusfontti"/>
    <w:semiHidden/>
    <w:unhideWhenUsed/>
    <w:rsid w:val="00FC5CBD"/>
    <w:rPr>
      <w:sz w:val="16"/>
      <w:szCs w:val="16"/>
    </w:rPr>
  </w:style>
  <w:style w:type="paragraph" w:styleId="Kommentinteksti">
    <w:name w:val="annotation text"/>
    <w:basedOn w:val="Normaali"/>
    <w:link w:val="KommentintekstiChar"/>
    <w:semiHidden/>
    <w:unhideWhenUsed/>
    <w:rsid w:val="00FC5CBD"/>
  </w:style>
  <w:style w:type="character" w:customStyle="1" w:styleId="KommentintekstiChar">
    <w:name w:val="Kommentin teksti Char"/>
    <w:basedOn w:val="Kappaleenoletusfontti"/>
    <w:link w:val="Kommentinteksti"/>
    <w:semiHidden/>
    <w:rsid w:val="00FC5CBD"/>
  </w:style>
  <w:style w:type="paragraph" w:styleId="Kommentinotsikko">
    <w:name w:val="annotation subject"/>
    <w:basedOn w:val="Kommentinteksti"/>
    <w:next w:val="Kommentinteksti"/>
    <w:link w:val="KommentinotsikkoChar"/>
    <w:semiHidden/>
    <w:unhideWhenUsed/>
    <w:rsid w:val="00FC5CBD"/>
    <w:rPr>
      <w:b/>
      <w:bCs/>
    </w:rPr>
  </w:style>
  <w:style w:type="character" w:customStyle="1" w:styleId="KommentinotsikkoChar">
    <w:name w:val="Kommentin otsikko Char"/>
    <w:basedOn w:val="KommentintekstiChar"/>
    <w:link w:val="Kommentinotsikko"/>
    <w:semiHidden/>
    <w:rsid w:val="00FC5CBD"/>
    <w:rPr>
      <w:b/>
      <w:bCs/>
    </w:rPr>
  </w:style>
  <w:style w:type="character" w:styleId="AvattuHyperlinkki">
    <w:name w:val="FollowedHyperlink"/>
    <w:basedOn w:val="Kappaleenoletusfontti"/>
    <w:semiHidden/>
    <w:unhideWhenUsed/>
    <w:rsid w:val="00ED6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y-keskus.fi/web/ely/ely-pohjois-savo?p_p_id=122_INSTANCE_aluevalinta&amp;p_p_lifecycle=0&amp;p_p_state=normal&amp;p_p_mode=view&amp;p_r_p_564233524_resetCur=true&amp;p_r_p_564233524_categoryId=142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y-keskus.fi/web/ely/ely-varsinais-suomi?p_p_id=122_INSTANCE_aluevalinta&amp;p_p_lifecycle=0&amp;p_p_state=normal&amp;p_p_mode=view&amp;p_r_p_564233524_resetCur=true&amp;p_r_p_564233524_categoryId=1440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ly-keskus.fi/web/ely/ely-lappi?p_p_id=122_INSTANCE_aluevalinta&amp;p_p_lifecycle=0&amp;p_p_state=normal&amp;p_p_mode=view&amp;p_r_p_564233524_resetCur=true&amp;p_r_p_564233524_categoryId=14253"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6308</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Tarhanen Saana (MMM)</dc:creator>
  <cp:lastModifiedBy>Tarhanen Saana (MMM)</cp:lastModifiedBy>
  <cp:revision>2</cp:revision>
  <cp:lastPrinted>2005-08-05T18:26:00Z</cp:lastPrinted>
  <dcterms:created xsi:type="dcterms:W3CDTF">2020-04-29T12:30:00Z</dcterms:created>
  <dcterms:modified xsi:type="dcterms:W3CDTF">2020-04-29T12:30:00Z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UPDATE_ONCE</vt:lpwstr>
  </property>
</Properties>
</file>